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A89" w:rsidRDefault="00C13A89" w:rsidP="00482F43">
      <w:pPr>
        <w:jc w:val="center"/>
        <w:rPr>
          <w:b/>
          <w:sz w:val="32"/>
          <w:szCs w:val="32"/>
        </w:rPr>
      </w:pPr>
    </w:p>
    <w:p w:rsidR="001F74A0" w:rsidRPr="00FD2C11" w:rsidRDefault="005F277C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.1pt;margin-top:49.7pt;width:77.3pt;height:107.6pt;z-index:251657728;mso-wrap-edited:f;mso-width-percent:0;mso-height-percent:0;mso-position-vertical-relative:page;mso-width-percent:0;mso-height-percent:0" o:allowincell="f">
            <v:imagedata r:id="rId5" o:title=""/>
            <w10:wrap type="square" anchory="page"/>
          </v:shape>
          <o:OLEObject Type="Embed" ProgID="MSPhotoEd.3" ShapeID="_x0000_s1026" DrawAspect="Content" ObjectID="_160414180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C13A89" w:rsidRPr="00D81C65" w:rsidRDefault="00C96874" w:rsidP="00BB004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D81C65">
        <w:rPr>
          <w:sz w:val="26"/>
          <w:szCs w:val="26"/>
        </w:rPr>
        <w:t>4/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C13A89">
        <w:rPr>
          <w:sz w:val="26"/>
          <w:szCs w:val="26"/>
        </w:rPr>
        <w:t>__</w:t>
      </w:r>
      <w:r w:rsidR="00482F43" w:rsidRPr="00BB004F">
        <w:rPr>
          <w:sz w:val="26"/>
          <w:szCs w:val="26"/>
        </w:rPr>
        <w:t xml:space="preserve">__ </w:t>
      </w:r>
      <w:r w:rsidR="00482F43" w:rsidRPr="00D81C65">
        <w:rPr>
          <w:sz w:val="26"/>
          <w:szCs w:val="26"/>
        </w:rPr>
        <w:t xml:space="preserve">- </w:t>
      </w:r>
      <w:r w:rsidR="00BB004F" w:rsidRPr="00D81C65">
        <w:rPr>
          <w:sz w:val="26"/>
          <w:szCs w:val="26"/>
        </w:rPr>
        <w:t xml:space="preserve">DE </w:t>
      </w:r>
      <w:r w:rsidR="00CA7174" w:rsidRPr="00D81C65">
        <w:rPr>
          <w:sz w:val="26"/>
          <w:szCs w:val="26"/>
        </w:rPr>
        <w:t>21</w:t>
      </w:r>
      <w:r w:rsidR="00BB004F" w:rsidRPr="00D81C65">
        <w:rPr>
          <w:sz w:val="26"/>
          <w:szCs w:val="26"/>
        </w:rPr>
        <w:t>/</w:t>
      </w:r>
      <w:r w:rsidR="00452D91" w:rsidRPr="00D81C65">
        <w:rPr>
          <w:sz w:val="26"/>
          <w:szCs w:val="26"/>
        </w:rPr>
        <w:t>0</w:t>
      </w:r>
      <w:r w:rsidRPr="00D81C65">
        <w:rPr>
          <w:sz w:val="26"/>
          <w:szCs w:val="26"/>
        </w:rPr>
        <w:t>9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  <w:r w:rsidR="00BB004F" w:rsidRPr="00D81C65">
        <w:rPr>
          <w:sz w:val="26"/>
          <w:szCs w:val="26"/>
        </w:rPr>
        <w:t xml:space="preserve"> </w:t>
      </w:r>
      <w:r w:rsidR="00C13A89" w:rsidRPr="00D81C65">
        <w:rPr>
          <w:sz w:val="26"/>
          <w:szCs w:val="26"/>
        </w:rPr>
        <w:t>a</w:t>
      </w:r>
      <w:r w:rsidR="00BB004F" w:rsidRPr="00D81C65">
        <w:rPr>
          <w:sz w:val="26"/>
          <w:szCs w:val="26"/>
        </w:rPr>
        <w:t xml:space="preserve"> </w:t>
      </w:r>
      <w:r w:rsidR="00CA7174" w:rsidRPr="00D81C65">
        <w:rPr>
          <w:sz w:val="26"/>
          <w:szCs w:val="26"/>
        </w:rPr>
        <w:t>20</w:t>
      </w:r>
      <w:r w:rsidR="00BB004F" w:rsidRPr="00D81C65">
        <w:rPr>
          <w:sz w:val="26"/>
          <w:szCs w:val="26"/>
        </w:rPr>
        <w:t>/</w:t>
      </w:r>
      <w:r w:rsidRPr="00D81C65">
        <w:rPr>
          <w:sz w:val="26"/>
          <w:szCs w:val="26"/>
        </w:rPr>
        <w:t>10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</w:p>
    <w:p w:rsidR="00100689" w:rsidRDefault="00BD5993" w:rsidP="00CB0EEA">
      <w:pPr>
        <w:ind w:left="4111"/>
        <w:jc w:val="center"/>
        <w:rPr>
          <w:sz w:val="26"/>
          <w:szCs w:val="26"/>
        </w:rPr>
      </w:pPr>
      <w:r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 w:rsidR="00CB0EEA">
        <w:rPr>
          <w:sz w:val="26"/>
          <w:szCs w:val="26"/>
        </w:rPr>
        <w:t xml:space="preserve"> </w:t>
      </w:r>
      <w:r w:rsidR="00CB0EEA" w:rsidRPr="00CB0EEA">
        <w:rPr>
          <w:rFonts w:ascii="Arial" w:hAnsi="Arial" w:cs="Arial"/>
          <w:b/>
          <w:sz w:val="24"/>
          <w:szCs w:val="24"/>
        </w:rPr>
        <w:t>Sindicato da Indústria do Açúcar e do Álcool do Estado de Pernambuco – SINDAÇÚCAR/PE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4"/>
        <w:gridCol w:w="5288"/>
        <w:gridCol w:w="1433"/>
        <w:gridCol w:w="5502"/>
      </w:tblGrid>
      <w:tr w:rsidR="00BD5993" w:rsidTr="00190FD6">
        <w:trPr>
          <w:trHeight w:val="375"/>
        </w:trPr>
        <w:tc>
          <w:tcPr>
            <w:tcW w:w="7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69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CB0EEA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CC547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Tomada Pública de Contribuições sobre a tutela regulatória da fidelidade à bandeira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190FD6">
        <w:trPr>
          <w:trHeight w:val="33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190FD6">
        <w:trPr>
          <w:trHeight w:val="568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  <w:p w:rsidR="00C13A89" w:rsidRPr="00325B0C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CB0EEA"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TPC nº 4/2018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B0EEA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>Apresentamos anexo documento em Word em que consta, de forma detalhada e completa, a opinião, comentários e fundamentações, legais e econômicas, para as questões apontadas nesta TPC 4/18.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B0EEA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 xml:space="preserve">Elaboramos referido documento anexo com o objetivo de melhor sistematizar as preocupações e sugestões apresentadas pelo </w:t>
            </w:r>
            <w:proofErr w:type="spellStart"/>
            <w:r w:rsidRPr="00325B0C">
              <w:rPr>
                <w:rFonts w:ascii="Arial" w:hAnsi="Arial" w:cs="Arial"/>
                <w:sz w:val="24"/>
                <w:szCs w:val="24"/>
              </w:rPr>
              <w:t>Sindaçúcar</w:t>
            </w:r>
            <w:proofErr w:type="spellEnd"/>
            <w:r w:rsidRPr="00325B0C">
              <w:rPr>
                <w:rFonts w:ascii="Arial" w:hAnsi="Arial" w:cs="Arial"/>
                <w:sz w:val="24"/>
                <w:szCs w:val="24"/>
              </w:rPr>
              <w:t xml:space="preserve">/PE sobre os diferentes temas tratados nesta TPC 4/18 e, em especial, os fundamentos ali trazidos para cada uma das propostas e preocupações apresentadas. Neste formulário, apenas resumiremos os principais tópicos desenvolvidos no documento anexo, adotando os assuntos e objetivos trazidos nesta Consulta. </w:t>
            </w:r>
          </w:p>
        </w:tc>
      </w:tr>
      <w:tr w:rsidR="00C13A89" w:rsidTr="00190FD6">
        <w:trPr>
          <w:trHeight w:val="704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2C3688" w:rsidP="000303C4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sz w:val="24"/>
                <w:szCs w:val="24"/>
              </w:rPr>
              <w:t>Defesa do Consumidor</w:t>
            </w:r>
          </w:p>
          <w:p w:rsidR="00C13A89" w:rsidRPr="00325B0C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2C3688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 xml:space="preserve">Entendemos que a regra do embandeiramento e, especialmente, os contratos de exclusividade celebrados entre as principais distribuidoras bandeiradas e seus revendedores, decorrentes desta regra, não têm atendido, de forma satisfatória, os interesses dos consumidores associados a menores preços e melhor qualidade dos combustíveis e serviços ofertados pelos revendedores bandeirados. Desta forma, a proposta apresentada é pela revogação do modelo de embandeiramento ou, pelo menos, por uma regulação mais rígida de forma a proibir os contratos de exclusividade </w:t>
            </w:r>
            <w:r w:rsidRPr="00325B0C">
              <w:rPr>
                <w:rFonts w:ascii="Arial" w:hAnsi="Arial" w:cs="Arial"/>
                <w:sz w:val="24"/>
                <w:szCs w:val="24"/>
              </w:rPr>
              <w:lastRenderedPageBreak/>
              <w:t xml:space="preserve">ou, no mínimo, limitar seus prazos de duração, assim como o número de postos sujeitos a eles. O modelo de embandeiramento e os contratos de exclusividade não trazem preços menores e, tampouco, são sinônimos de qualidade no combustível, segundo dados públicos divulgados pela ANP. Além disso, esta regra e contratos eleva </w:t>
            </w:r>
            <w:r w:rsidRPr="00325B0C">
              <w:rPr>
                <w:rFonts w:ascii="Arial" w:hAnsi="Arial" w:cs="Arial"/>
                <w:b/>
                <w:sz w:val="24"/>
                <w:szCs w:val="24"/>
              </w:rPr>
              <w:t xml:space="preserve">as barreiras à entrada </w:t>
            </w:r>
            <w:r w:rsidRPr="00325B0C">
              <w:rPr>
                <w:rFonts w:ascii="Arial" w:hAnsi="Arial" w:cs="Arial"/>
                <w:sz w:val="24"/>
                <w:szCs w:val="24"/>
              </w:rPr>
              <w:t xml:space="preserve">de novos ofertantes (produtores ou distribuidoras) de combustíveis no mercado brasileiro, além de </w:t>
            </w:r>
            <w:r w:rsidRPr="00325B0C">
              <w:rPr>
                <w:rFonts w:ascii="Arial" w:hAnsi="Arial" w:cs="Arial"/>
                <w:b/>
                <w:sz w:val="24"/>
                <w:szCs w:val="24"/>
              </w:rPr>
              <w:t xml:space="preserve">facilitar práticas </w:t>
            </w:r>
            <w:proofErr w:type="spellStart"/>
            <w:r w:rsidRPr="00325B0C">
              <w:rPr>
                <w:rFonts w:ascii="Arial" w:hAnsi="Arial" w:cs="Arial"/>
                <w:b/>
                <w:sz w:val="24"/>
                <w:szCs w:val="24"/>
              </w:rPr>
              <w:t>anticompetitivas</w:t>
            </w:r>
            <w:proofErr w:type="spellEnd"/>
            <w:r w:rsidRPr="00325B0C">
              <w:rPr>
                <w:rFonts w:ascii="Arial" w:hAnsi="Arial" w:cs="Arial"/>
                <w:sz w:val="24"/>
                <w:szCs w:val="24"/>
              </w:rPr>
              <w:t xml:space="preserve"> associadas a: (a) </w:t>
            </w:r>
            <w:r w:rsidRPr="00325B0C">
              <w:rPr>
                <w:rFonts w:ascii="Arial" w:hAnsi="Arial" w:cs="Arial"/>
                <w:b/>
                <w:sz w:val="24"/>
                <w:szCs w:val="24"/>
              </w:rPr>
              <w:t>discriminação de preços</w:t>
            </w:r>
            <w:r w:rsidRPr="00325B0C">
              <w:rPr>
                <w:rFonts w:ascii="Arial" w:hAnsi="Arial" w:cs="Arial"/>
                <w:sz w:val="24"/>
                <w:szCs w:val="24"/>
              </w:rPr>
              <w:t xml:space="preserve">, (b) </w:t>
            </w:r>
            <w:r w:rsidRPr="00325B0C">
              <w:rPr>
                <w:rFonts w:ascii="Arial" w:hAnsi="Arial" w:cs="Arial"/>
                <w:b/>
                <w:sz w:val="24"/>
                <w:szCs w:val="24"/>
              </w:rPr>
              <w:t xml:space="preserve">subsídios cruzados / </w:t>
            </w:r>
            <w:proofErr w:type="spellStart"/>
            <w:r w:rsidRPr="00325B0C">
              <w:rPr>
                <w:rFonts w:ascii="Arial" w:hAnsi="Arial" w:cs="Arial"/>
                <w:b/>
                <w:i/>
                <w:sz w:val="24"/>
                <w:szCs w:val="24"/>
              </w:rPr>
              <w:t>price</w:t>
            </w:r>
            <w:proofErr w:type="spellEnd"/>
            <w:r w:rsidRPr="00325B0C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25B0C">
              <w:rPr>
                <w:rFonts w:ascii="Arial" w:hAnsi="Arial" w:cs="Arial"/>
                <w:b/>
                <w:sz w:val="24"/>
                <w:szCs w:val="24"/>
              </w:rPr>
              <w:t>squeeze</w:t>
            </w:r>
            <w:proofErr w:type="spellEnd"/>
            <w:r w:rsidRPr="00325B0C">
              <w:rPr>
                <w:rFonts w:ascii="Arial" w:hAnsi="Arial" w:cs="Arial"/>
                <w:sz w:val="24"/>
                <w:szCs w:val="24"/>
              </w:rPr>
              <w:t xml:space="preserve"> e (c) cartelização.  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BB53DA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lastRenderedPageBreak/>
              <w:t xml:space="preserve">Conforme destacado em detalhes no documento anexo. Os problemas competitivos associados ao embandeiramento e, especialmente, aos contratos de exclusividade são </w:t>
            </w:r>
            <w:r w:rsidR="00787C42" w:rsidRPr="00325B0C">
              <w:rPr>
                <w:rFonts w:ascii="Arial" w:hAnsi="Arial" w:cs="Arial"/>
                <w:sz w:val="24"/>
                <w:szCs w:val="24"/>
              </w:rPr>
              <w:t xml:space="preserve">destacados e expressa e explicitamente em diversos julgados pelo CADE, destacados no item III.1. O item IV apresenta dados empíricos que justificam, por exemplo, que os postos embandeirados também adulteram combustíveis e, ainda, trazem preços mais elevados. Neste item IV, ainda são apresentados </w:t>
            </w:r>
            <w:r w:rsidR="00787C42" w:rsidRPr="00325B0C">
              <w:rPr>
                <w:rFonts w:ascii="Arial" w:hAnsi="Arial" w:cs="Arial"/>
                <w:sz w:val="24"/>
                <w:szCs w:val="24"/>
              </w:rPr>
              <w:lastRenderedPageBreak/>
              <w:t xml:space="preserve">dados que demonstram discriminação de preços e a total falta de preocupação das distribuidoras bandeiradas em garantir a seus revendedores condições plenas de competição e competitividade no mercado. Por fim, no item III.2 foram apresentados exemplos de medidas adotadas em outros países para mitigar os problemas concorrenciais gerados pelo embandeiramento e contratos de exclusividade celebrados entre distribuidoras e revendedores. </w:t>
            </w:r>
            <w:r w:rsidR="00C13A89" w:rsidRPr="00325B0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C13A89" w:rsidTr="00190FD6">
        <w:trPr>
          <w:trHeight w:val="67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787C42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Fiscalização do Setor Público sobre o contrato privado entre distribuidores e revendedores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787C42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>Entendemos que tanto o CADE como a ANP devem estar atentos aos efeitos anticompetitivos dos contratos de exclusividade celebrados entre distribuidores e revendedores; e anulá-los – ou pelo menos regulá-los ao restringir suas cláusulas que geram efeitos anticompetitivos -, assim como ocorre em outras jurisdições.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787C42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>Nossa proposta é pela anulação dos contratos de exclusividade existentes ou, pelo menos, para tornar seus prazos por tempo indeterminado (ou limitá-los a no máximo 1 ano)</w:t>
            </w:r>
            <w:r w:rsidR="00325B0C" w:rsidRPr="00325B0C"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Pr="00325B0C">
              <w:rPr>
                <w:rFonts w:ascii="Arial" w:hAnsi="Arial" w:cs="Arial"/>
                <w:sz w:val="24"/>
                <w:szCs w:val="24"/>
              </w:rPr>
              <w:t xml:space="preserve"> retirar as multas proibitivas ali existentes e que impedem a migração de um posto para outra bandeira ou para se tornar bandeira branca</w:t>
            </w:r>
            <w:r w:rsidR="00325B0C" w:rsidRPr="00325B0C"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Pr="00325B0C">
              <w:rPr>
                <w:rFonts w:ascii="Arial" w:hAnsi="Arial" w:cs="Arial"/>
                <w:sz w:val="24"/>
                <w:szCs w:val="24"/>
              </w:rPr>
              <w:t xml:space="preserve"> limitar o número de postos sujeitos a esses contratos</w:t>
            </w:r>
            <w:r w:rsidR="00325B0C" w:rsidRPr="00325B0C">
              <w:rPr>
                <w:rFonts w:ascii="Arial" w:hAnsi="Arial" w:cs="Arial"/>
                <w:sz w:val="24"/>
                <w:szCs w:val="24"/>
              </w:rPr>
              <w:t>.</w:t>
            </w:r>
            <w:r w:rsidRPr="00325B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13A89" w:rsidTr="00190FD6">
        <w:trPr>
          <w:trHeight w:val="667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325B0C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Fiscalização pela ANP da utilização da marca.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325B0C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325B0C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Entendemos</w:t>
            </w:r>
            <w:r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que esta responsabilidade não deveria recair à ANP, mas apenas aquela de garantir a comercialização de combustíveis nas qualidades estabelecidas pela Agência. Além disso, entendemos que a atual regra estabelecida pela ANP, na qual o revendedor deve deixar visível aos consumidores a origem do fornecedor dos combustíveis ofertados pelo posto já é suficiente para garantir-lhes as informações necessários para a sua decisão sobre em qual posto adquirir o combustível, assim como para obter ressarcimento por danos causados por combustíveis adulterados adquiridos junto aos postos.  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325B0C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Fim da regra do embandeiramento e maior rigidez na fiscalização e combate a combustíveis adulterados, punindo, não somente o revendedor, como também o distribuidor titular da bandeira. Além disso, sugerimos que a informação sobre a visibilidade do fornecedor do combustível receba maior visibilidade, como, por exemplo, com a sua fixação no letreiro em que consta os preços dos combustíveis ofertados pelos postos.</w:t>
            </w:r>
          </w:p>
        </w:tc>
      </w:tr>
      <w:tr w:rsidR="00C13A89" w:rsidTr="00190FD6">
        <w:trPr>
          <w:trHeight w:val="636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325B0C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 xml:space="preserve">Responsabilidade Solidária dos Distribuidores sobre os Postos </w:t>
            </w: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lastRenderedPageBreak/>
              <w:t xml:space="preserve">Bandeirados, independente da existência de culpa. </w:t>
            </w:r>
          </w:p>
          <w:p w:rsidR="00C13A89" w:rsidRPr="00325B0C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325B0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  <w:r w:rsidR="00325B0C">
              <w:rPr>
                <w:rFonts w:ascii="Arial" w:hAnsi="Arial" w:cs="Arial"/>
                <w:sz w:val="24"/>
                <w:szCs w:val="24"/>
              </w:rPr>
              <w:t xml:space="preserve">Somos absolutamente favoráveis a esta medida, pois entendemos que ela trará aos distribuidores um maior controle sobre a qualidade dos combustíveis ofertados pelos postos que estão sob sua bandeira. Entendemos ainda que esta </w:t>
            </w:r>
            <w:r w:rsidR="00325B0C">
              <w:rPr>
                <w:rFonts w:ascii="Arial" w:hAnsi="Arial" w:cs="Arial"/>
                <w:sz w:val="24"/>
                <w:szCs w:val="24"/>
              </w:rPr>
              <w:lastRenderedPageBreak/>
              <w:t xml:space="preserve">responsabilidade deveria também se estender aos problemas de sonegação fiscal existentes </w:t>
            </w:r>
            <w:r w:rsidR="00190FD6">
              <w:rPr>
                <w:rFonts w:ascii="Arial" w:hAnsi="Arial" w:cs="Arial"/>
                <w:sz w:val="24"/>
                <w:szCs w:val="24"/>
              </w:rPr>
              <w:t>nesse setor.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190FD6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Definir melhor esta responsabilidade solidária entre distribuidora e revendedor e aplicação de forma mais severa da penalidade de cassação da autorização de funcionamento para revendedores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 distribuidoras autuados por adulteração de combustíveis e/ou sonegação fiscal. Sob este último ponto, embora saibamos que seria de competência das Secretarias Estaduais de Finanças, assim como da SRF, entendemos que o problema da sonegação fiscal acarreta graves e séries distorções na concorrência e competitividade do setor. Por esta razão, propomos que este tema também seja levado em consideração na fiscalização e punições adotadas pela ANP contra revendedores e distribuidoras.</w:t>
            </w:r>
          </w:p>
        </w:tc>
      </w:tr>
      <w:tr w:rsidR="00C13A89" w:rsidTr="00190FD6">
        <w:trPr>
          <w:trHeight w:val="607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190FD6" w:rsidRDefault="00190FD6" w:rsidP="00190FD6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Experiência Internacional 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> </w:t>
            </w:r>
            <w:r w:rsidR="00190FD6">
              <w:rPr>
                <w:rFonts w:ascii="Arial" w:hAnsi="Arial" w:cs="Arial"/>
                <w:sz w:val="24"/>
                <w:szCs w:val="24"/>
              </w:rPr>
              <w:t>Relatamos no item III.2 do documento anexo algumas medidas adotadas por outros países para tentar mitigar os efeitos anticompetitivos decorrentes do embandeiramento e dos contratos de exclusividade.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325B0C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325B0C">
              <w:rPr>
                <w:rFonts w:ascii="Arial" w:hAnsi="Arial" w:cs="Arial"/>
                <w:sz w:val="24"/>
                <w:szCs w:val="24"/>
              </w:rPr>
              <w:t> </w:t>
            </w:r>
            <w:r w:rsidR="00190FD6">
              <w:rPr>
                <w:rFonts w:ascii="Arial" w:hAnsi="Arial" w:cs="Arial"/>
                <w:sz w:val="24"/>
                <w:szCs w:val="24"/>
              </w:rPr>
              <w:t>Vide item documento anexo.</w:t>
            </w:r>
          </w:p>
        </w:tc>
      </w:tr>
      <w:tr w:rsidR="00325B0C" w:rsidTr="00190FD6">
        <w:trPr>
          <w:trHeight w:val="607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25B0C" w:rsidRPr="00190FD6" w:rsidRDefault="00190FD6" w:rsidP="00190FD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0FD6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190FD6">
              <w:rPr>
                <w:rFonts w:ascii="Arial" w:hAnsi="Arial" w:cs="Arial"/>
                <w:b/>
                <w:bCs/>
                <w:sz w:val="24"/>
                <w:szCs w:val="24"/>
              </w:rPr>
              <w:t>ossibilidade de introdução de maior competição entre os distribuidores pelo fim da tutela regulatória da fidelidade à bandeira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25B0C" w:rsidRPr="00325B0C" w:rsidRDefault="00190FD6" w:rsidP="000303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Somos favoráveis ao fim da regra do embandeiramento, assim como dos contratos de exclusividade atualmente celebrados entre distribuidoras e revendedores.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25B0C" w:rsidRPr="00325B0C" w:rsidRDefault="00190FD6" w:rsidP="000303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 justificativas para este posicionamento, encontram-se melhor embasadas e apresentadas no documento anexo. Resumidamente, os argumentos que embasam este posicionamento são: (a) os postos bandeirados trazem preços mais elevados do que aqueles de bandeira branca; (b) os postos bandeirados também adulteram combustíveis em níveis próximos àqueles dos postos bandeira branca; (c) as distribuidoras bandeiradas não estão preocupadas com a qualidade do combustível e serviços ofertados pelos seus postos bandeirados, mas apenas, pelo volume e lucros registrados com as vendas realizadas a esses pontos; (d) o atual modelo de embandeiramento e contratos de exclusividade não são benéficos aos revendedores e, ainda, acarretam em condutas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anticompetitivas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associadas a discriminação de preços, subsídios cruzados/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price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squeeze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 cartel.  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rFonts w:ascii="Arial" w:eastAsia="Arial Unicode MS" w:hAnsi="Arial" w:cs="Arial"/>
          <w:sz w:val="24"/>
          <w:szCs w:val="24"/>
        </w:rPr>
        <w:lastRenderedPageBreak/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tpc_fidelidade_bandeira@anp.gov.br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42C"/>
    <w:rsid w:val="000303C4"/>
    <w:rsid w:val="00050F3F"/>
    <w:rsid w:val="000873C6"/>
    <w:rsid w:val="000C72BB"/>
    <w:rsid w:val="000C742C"/>
    <w:rsid w:val="000F43D7"/>
    <w:rsid w:val="00100689"/>
    <w:rsid w:val="0010535D"/>
    <w:rsid w:val="001312BC"/>
    <w:rsid w:val="00153BBA"/>
    <w:rsid w:val="00190FD6"/>
    <w:rsid w:val="001C5D32"/>
    <w:rsid w:val="001F74A0"/>
    <w:rsid w:val="002109D6"/>
    <w:rsid w:val="0026582D"/>
    <w:rsid w:val="002808DC"/>
    <w:rsid w:val="00287B41"/>
    <w:rsid w:val="002C3688"/>
    <w:rsid w:val="00325B0C"/>
    <w:rsid w:val="00335A11"/>
    <w:rsid w:val="004017EF"/>
    <w:rsid w:val="00452D91"/>
    <w:rsid w:val="004602FD"/>
    <w:rsid w:val="00482F43"/>
    <w:rsid w:val="00494A88"/>
    <w:rsid w:val="004C5AA8"/>
    <w:rsid w:val="004E6BA1"/>
    <w:rsid w:val="005443AF"/>
    <w:rsid w:val="00570C4C"/>
    <w:rsid w:val="00586DD3"/>
    <w:rsid w:val="005E2BE6"/>
    <w:rsid w:val="005F277C"/>
    <w:rsid w:val="0063117B"/>
    <w:rsid w:val="006C7878"/>
    <w:rsid w:val="006E69BF"/>
    <w:rsid w:val="007220DF"/>
    <w:rsid w:val="00735912"/>
    <w:rsid w:val="00754009"/>
    <w:rsid w:val="00762754"/>
    <w:rsid w:val="00787C42"/>
    <w:rsid w:val="00834A5C"/>
    <w:rsid w:val="0085243A"/>
    <w:rsid w:val="00852D24"/>
    <w:rsid w:val="008C0A6C"/>
    <w:rsid w:val="008E1D4F"/>
    <w:rsid w:val="009A7203"/>
    <w:rsid w:val="009B4815"/>
    <w:rsid w:val="009E5AD5"/>
    <w:rsid w:val="009F4F0E"/>
    <w:rsid w:val="00A225FB"/>
    <w:rsid w:val="00A8005F"/>
    <w:rsid w:val="00A94E85"/>
    <w:rsid w:val="00AC5BC1"/>
    <w:rsid w:val="00AF2899"/>
    <w:rsid w:val="00B4490B"/>
    <w:rsid w:val="00B74C89"/>
    <w:rsid w:val="00B87441"/>
    <w:rsid w:val="00BB004F"/>
    <w:rsid w:val="00BB53DA"/>
    <w:rsid w:val="00BC59FF"/>
    <w:rsid w:val="00BD479F"/>
    <w:rsid w:val="00BD5993"/>
    <w:rsid w:val="00C13A89"/>
    <w:rsid w:val="00C74BAD"/>
    <w:rsid w:val="00C96874"/>
    <w:rsid w:val="00CA7174"/>
    <w:rsid w:val="00CB0EEA"/>
    <w:rsid w:val="00CB4E90"/>
    <w:rsid w:val="00CC5472"/>
    <w:rsid w:val="00CD7D9E"/>
    <w:rsid w:val="00CF2605"/>
    <w:rsid w:val="00CF534B"/>
    <w:rsid w:val="00D060D3"/>
    <w:rsid w:val="00D11D93"/>
    <w:rsid w:val="00D81C65"/>
    <w:rsid w:val="00DC0FFA"/>
    <w:rsid w:val="00DE64B2"/>
    <w:rsid w:val="00E06319"/>
    <w:rsid w:val="00E51418"/>
    <w:rsid w:val="00EA1B67"/>
    <w:rsid w:val="00ED7714"/>
    <w:rsid w:val="00F026F8"/>
    <w:rsid w:val="00F229D8"/>
    <w:rsid w:val="00F87981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9043D80"/>
  <w15:docId w15:val="{BC4F3547-B51F-4E10-8E5B-52FDF17E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1197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Rodrigo Zingales</cp:lastModifiedBy>
  <cp:revision>6</cp:revision>
  <cp:lastPrinted>2010-12-28T18:08:00Z</cp:lastPrinted>
  <dcterms:created xsi:type="dcterms:W3CDTF">2018-09-17T22:01:00Z</dcterms:created>
  <dcterms:modified xsi:type="dcterms:W3CDTF">2018-11-19T16:10:00Z</dcterms:modified>
</cp:coreProperties>
</file>